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99" w:rsidRDefault="00D7068A" w:rsidP="006C30C4">
      <w:pPr>
        <w:pStyle w:val="Title"/>
      </w:pPr>
      <w:r>
        <w:t xml:space="preserve">NZRAB </w:t>
      </w:r>
      <w:r w:rsidR="006C30C4">
        <w:t>Consultation</w:t>
      </w:r>
      <w:r>
        <w:br/>
      </w:r>
      <w:r w:rsidRPr="00D7068A">
        <w:rPr>
          <w:sz w:val="36"/>
          <w:szCs w:val="36"/>
        </w:rPr>
        <w:t>R</w:t>
      </w:r>
      <w:r w:rsidR="006C30C4" w:rsidRPr="00D7068A">
        <w:rPr>
          <w:sz w:val="36"/>
          <w:szCs w:val="36"/>
        </w:rPr>
        <w:t>e p</w:t>
      </w:r>
      <w:r w:rsidR="00454999" w:rsidRPr="00D7068A">
        <w:rPr>
          <w:sz w:val="36"/>
          <w:szCs w:val="36"/>
        </w:rPr>
        <w:t xml:space="preserve">roposed </w:t>
      </w:r>
      <w:r w:rsidR="006C30C4" w:rsidRPr="00D7068A">
        <w:rPr>
          <w:sz w:val="36"/>
          <w:szCs w:val="36"/>
        </w:rPr>
        <w:t>r</w:t>
      </w:r>
      <w:r w:rsidR="00454999" w:rsidRPr="00D7068A">
        <w:rPr>
          <w:sz w:val="36"/>
          <w:szCs w:val="36"/>
        </w:rPr>
        <w:t xml:space="preserve">ule </w:t>
      </w:r>
      <w:r w:rsidR="006C30C4" w:rsidRPr="00D7068A">
        <w:rPr>
          <w:sz w:val="36"/>
          <w:szCs w:val="36"/>
        </w:rPr>
        <w:t>c</w:t>
      </w:r>
      <w:r w:rsidR="00454999" w:rsidRPr="00D7068A">
        <w:rPr>
          <w:sz w:val="36"/>
          <w:szCs w:val="36"/>
        </w:rPr>
        <w:t>hanges in relation to NZRAB complaints procedures</w:t>
      </w:r>
    </w:p>
    <w:p w:rsidR="00454999" w:rsidRPr="007D7189" w:rsidRDefault="007D7189" w:rsidP="00EB6616">
      <w:r w:rsidRPr="007D7189">
        <w:t xml:space="preserve">The NZRAB </w:t>
      </w:r>
      <w:r>
        <w:t xml:space="preserve">is proposing to make two </w:t>
      </w:r>
      <w:r w:rsidR="006C30C4">
        <w:t>changes</w:t>
      </w:r>
      <w:r>
        <w:t xml:space="preserve"> to the Registered Architects Rules 2006 in regard to its complaints and discipline procedures</w:t>
      </w:r>
      <w:r w:rsidR="006C30C4">
        <w:t>. Rule changes require consultation with relevant stakeholders</w:t>
      </w:r>
      <w:r w:rsidR="00D9201F">
        <w:t>, hence this consultation</w:t>
      </w:r>
      <w:r w:rsidR="006C30C4">
        <w:t>.</w:t>
      </w:r>
    </w:p>
    <w:p w:rsidR="007D7189" w:rsidRPr="006C30C4" w:rsidRDefault="007D7189" w:rsidP="00EB6616">
      <w:r w:rsidRPr="006C30C4">
        <w:t>For an explanation of these proposed changes</w:t>
      </w:r>
      <w:r w:rsidR="006C30C4">
        <w:t>,</w:t>
      </w:r>
      <w:r w:rsidRPr="006C30C4">
        <w:t xml:space="preserve"> please see overleaf.</w:t>
      </w:r>
    </w:p>
    <w:p w:rsidR="006C30C4" w:rsidRDefault="007D7189" w:rsidP="00EB6616">
      <w:r w:rsidRPr="006C30C4">
        <w:t>To indicate your view</w:t>
      </w:r>
      <w:r w:rsidR="00343236">
        <w:t>,</w:t>
      </w:r>
      <w:r w:rsidRPr="006C30C4">
        <w:t xml:space="preserve"> please respond as per the table below</w:t>
      </w:r>
      <w:r w:rsidR="006C30C4">
        <w:t xml:space="preserve"> indicating with an X whether you think what’s proposed is fair and reasonable, or not.</w:t>
      </w:r>
    </w:p>
    <w:p w:rsidR="00EE2C99" w:rsidRDefault="006C30C4" w:rsidP="00EB6616">
      <w:r>
        <w:t xml:space="preserve">Then please </w:t>
      </w:r>
      <w:r w:rsidR="007D7189" w:rsidRPr="006C30C4">
        <w:t xml:space="preserve">save this and email </w:t>
      </w:r>
      <w:r w:rsidRPr="006C30C4">
        <w:t>it</w:t>
      </w:r>
      <w:r w:rsidR="007D7189" w:rsidRPr="006C30C4">
        <w:t xml:space="preserve"> back to </w:t>
      </w:r>
      <w:hyperlink r:id="rId9" w:history="1">
        <w:r w:rsidR="007D7189" w:rsidRPr="006C30C4">
          <w:rPr>
            <w:rStyle w:val="Hyperlink"/>
          </w:rPr>
          <w:t>consult@nzrab.org.nz</w:t>
        </w:r>
      </w:hyperlink>
      <w:r w:rsidR="007D7189" w:rsidRPr="006C30C4">
        <w:t xml:space="preserve">. </w:t>
      </w:r>
    </w:p>
    <w:p w:rsidR="007D7189" w:rsidRDefault="007D7189" w:rsidP="00EB6616">
      <w:r w:rsidRPr="00CF648A">
        <w:t xml:space="preserve">Replies need to be back to the NZRAB by </w:t>
      </w:r>
      <w:r w:rsidR="00CF648A" w:rsidRPr="00CF648A">
        <w:rPr>
          <w:b/>
        </w:rPr>
        <w:t>5</w:t>
      </w:r>
      <w:r w:rsidR="006C30C4" w:rsidRPr="00CF648A">
        <w:rPr>
          <w:b/>
        </w:rPr>
        <w:t xml:space="preserve"> May 2017.</w:t>
      </w:r>
    </w:p>
    <w:p w:rsidR="006C30C4" w:rsidRPr="00957061" w:rsidRDefault="00957061" w:rsidP="00957061">
      <w:pPr>
        <w:pStyle w:val="ListParagraph"/>
        <w:ind w:left="0"/>
        <w:rPr>
          <w:b/>
        </w:rPr>
      </w:pPr>
      <w:r w:rsidRPr="00EE2C99">
        <w:rPr>
          <w:b/>
          <w:u w:val="single"/>
        </w:rPr>
        <w:t xml:space="preserve">Proposed </w:t>
      </w:r>
      <w:r w:rsidR="00EE2C99" w:rsidRPr="00EE2C99">
        <w:rPr>
          <w:b/>
          <w:u w:val="single"/>
        </w:rPr>
        <w:t xml:space="preserve">Rule </w:t>
      </w:r>
      <w:r w:rsidRPr="00EE2C99">
        <w:rPr>
          <w:b/>
          <w:u w:val="single"/>
        </w:rPr>
        <w:t>Change 1</w:t>
      </w:r>
      <w:r w:rsidRPr="00957061">
        <w:rPr>
          <w:b/>
        </w:rPr>
        <w:br/>
      </w:r>
      <w:r w:rsidR="006C30C4" w:rsidRPr="00957061">
        <w:rPr>
          <w:b/>
        </w:rPr>
        <w:t xml:space="preserve">That an additional ground for dismissing a complaint be added to rule 69, </w:t>
      </w:r>
      <w:r w:rsidRPr="00957061">
        <w:rPr>
          <w:b/>
        </w:rPr>
        <w:t>that</w:t>
      </w:r>
      <w:r w:rsidR="006C30C4" w:rsidRPr="00957061">
        <w:rPr>
          <w:b/>
        </w:rPr>
        <w:t xml:space="preserve"> </w:t>
      </w:r>
      <w:r w:rsidR="006C30C4" w:rsidRPr="00957061">
        <w:rPr>
          <w:b/>
          <w:i/>
        </w:rPr>
        <w:t>there is no real prospect of grounds for discipline under section 25(1)</w:t>
      </w:r>
      <w:r w:rsidR="006C30C4" w:rsidRPr="00957061">
        <w:rPr>
          <w:rFonts w:ascii="Arial" w:hAnsi="Arial" w:cs="Arial"/>
          <w:b/>
          <w:i/>
        </w:rPr>
        <w:t>﻿</w:t>
      </w:r>
      <w:r w:rsidR="006C30C4" w:rsidRPr="00957061">
        <w:rPr>
          <w:b/>
          <w:i/>
        </w:rPr>
        <w:t>(a) to (d) of the Act being proven.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103"/>
      </w:tblGrid>
      <w:tr w:rsidR="00957061" w:rsidTr="00957061">
        <w:tc>
          <w:tcPr>
            <w:tcW w:w="3652" w:type="dxa"/>
          </w:tcPr>
          <w:p w:rsidR="00957061" w:rsidRPr="00957061" w:rsidRDefault="00957061" w:rsidP="006C30C4">
            <w:pPr>
              <w:rPr>
                <w:b/>
              </w:rPr>
            </w:pPr>
          </w:p>
        </w:tc>
        <w:tc>
          <w:tcPr>
            <w:tcW w:w="5103" w:type="dxa"/>
          </w:tcPr>
          <w:p w:rsidR="00957061" w:rsidRPr="00957061" w:rsidRDefault="00957061" w:rsidP="00957061">
            <w:pPr>
              <w:jc w:val="center"/>
              <w:rPr>
                <w:b/>
              </w:rPr>
            </w:pPr>
            <w:r w:rsidRPr="00957061">
              <w:rPr>
                <w:b/>
              </w:rPr>
              <w:t xml:space="preserve">Indicate preference with </w:t>
            </w:r>
            <w:r>
              <w:rPr>
                <w:b/>
              </w:rPr>
              <w:t xml:space="preserve">an </w:t>
            </w:r>
            <w:r w:rsidRPr="00957061">
              <w:rPr>
                <w:b/>
              </w:rPr>
              <w:t>X</w:t>
            </w:r>
            <w:r>
              <w:rPr>
                <w:b/>
              </w:rPr>
              <w:t xml:space="preserve"> below</w:t>
            </w:r>
          </w:p>
        </w:tc>
      </w:tr>
      <w:tr w:rsidR="00957061" w:rsidTr="00957061">
        <w:tc>
          <w:tcPr>
            <w:tcW w:w="3652" w:type="dxa"/>
          </w:tcPr>
          <w:p w:rsidR="00957061" w:rsidRPr="00957061" w:rsidRDefault="00957061" w:rsidP="006C30C4">
            <w:pPr>
              <w:rPr>
                <w:b/>
              </w:rPr>
            </w:pPr>
            <w:r w:rsidRPr="00957061">
              <w:rPr>
                <w:b/>
              </w:rPr>
              <w:t>Fair and reasonable</w:t>
            </w:r>
          </w:p>
        </w:tc>
        <w:tc>
          <w:tcPr>
            <w:tcW w:w="5103" w:type="dxa"/>
          </w:tcPr>
          <w:p w:rsidR="00957061" w:rsidRPr="00957061" w:rsidRDefault="00957061" w:rsidP="00957061">
            <w:pPr>
              <w:jc w:val="center"/>
            </w:pPr>
            <w:r>
              <w:t>-</w:t>
            </w:r>
          </w:p>
        </w:tc>
      </w:tr>
      <w:tr w:rsidR="00957061" w:rsidTr="00957061">
        <w:tc>
          <w:tcPr>
            <w:tcW w:w="3652" w:type="dxa"/>
          </w:tcPr>
          <w:p w:rsidR="00957061" w:rsidRDefault="00957061" w:rsidP="00957061">
            <w:r w:rsidRPr="00957061">
              <w:rPr>
                <w:b/>
              </w:rPr>
              <w:t xml:space="preserve">NOT fair and </w:t>
            </w:r>
            <w:r>
              <w:rPr>
                <w:b/>
              </w:rPr>
              <w:t>r</w:t>
            </w:r>
            <w:r w:rsidRPr="00957061">
              <w:rPr>
                <w:b/>
              </w:rPr>
              <w:t>easonable</w:t>
            </w:r>
          </w:p>
        </w:tc>
        <w:tc>
          <w:tcPr>
            <w:tcW w:w="5103" w:type="dxa"/>
          </w:tcPr>
          <w:p w:rsidR="00957061" w:rsidRDefault="00957061" w:rsidP="00957061">
            <w:pPr>
              <w:jc w:val="center"/>
            </w:pPr>
            <w:r>
              <w:t>-</w:t>
            </w:r>
          </w:p>
        </w:tc>
      </w:tr>
    </w:tbl>
    <w:p w:rsidR="00957061" w:rsidRPr="00957061" w:rsidRDefault="00957061" w:rsidP="00957061">
      <w:pPr>
        <w:pStyle w:val="ListParagraph"/>
        <w:ind w:left="0"/>
        <w:rPr>
          <w:b/>
        </w:rPr>
      </w:pPr>
      <w:r>
        <w:br/>
      </w:r>
      <w:r w:rsidRPr="00EE2C99">
        <w:rPr>
          <w:b/>
          <w:u w:val="single"/>
        </w:rPr>
        <w:t xml:space="preserve">Proposed </w:t>
      </w:r>
      <w:r w:rsidR="00EE2C99" w:rsidRPr="00EE2C99">
        <w:rPr>
          <w:b/>
          <w:u w:val="single"/>
        </w:rPr>
        <w:t xml:space="preserve">Rule </w:t>
      </w:r>
      <w:r w:rsidRPr="00EE2C99">
        <w:rPr>
          <w:b/>
          <w:u w:val="single"/>
        </w:rPr>
        <w:t>Change 2</w:t>
      </w:r>
      <w:r>
        <w:rPr>
          <w:b/>
        </w:rPr>
        <w:br/>
      </w:r>
      <w:r w:rsidRPr="00957061">
        <w:rPr>
          <w:b/>
        </w:rPr>
        <w:t xml:space="preserve">That a new sub clause to Rule 68 be added as follows. </w:t>
      </w:r>
      <w:r w:rsidRPr="00957061">
        <w:rPr>
          <w:b/>
          <w:i/>
        </w:rPr>
        <w:t>68(2) If the Board has made a decision under Rule 68(a) and then prior to the Disciplinary Hearing circumstances change so that Rule 69(aa) applies, the Board may dismiss the matter.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103"/>
      </w:tblGrid>
      <w:tr w:rsidR="00957061" w:rsidTr="00C34D4C">
        <w:tc>
          <w:tcPr>
            <w:tcW w:w="3652" w:type="dxa"/>
          </w:tcPr>
          <w:p w:rsidR="00957061" w:rsidRPr="00957061" w:rsidRDefault="00957061" w:rsidP="00C34D4C">
            <w:pPr>
              <w:rPr>
                <w:b/>
              </w:rPr>
            </w:pPr>
          </w:p>
        </w:tc>
        <w:tc>
          <w:tcPr>
            <w:tcW w:w="5103" w:type="dxa"/>
          </w:tcPr>
          <w:p w:rsidR="00957061" w:rsidRPr="00957061" w:rsidRDefault="00957061" w:rsidP="00C34D4C">
            <w:pPr>
              <w:jc w:val="center"/>
              <w:rPr>
                <w:b/>
              </w:rPr>
            </w:pPr>
            <w:r w:rsidRPr="00957061">
              <w:rPr>
                <w:b/>
              </w:rPr>
              <w:t xml:space="preserve">Indicate preference with </w:t>
            </w:r>
            <w:r>
              <w:rPr>
                <w:b/>
              </w:rPr>
              <w:t xml:space="preserve">an </w:t>
            </w:r>
            <w:r w:rsidRPr="00957061">
              <w:rPr>
                <w:b/>
              </w:rPr>
              <w:t>X</w:t>
            </w:r>
            <w:r>
              <w:rPr>
                <w:b/>
              </w:rPr>
              <w:t xml:space="preserve"> below</w:t>
            </w:r>
          </w:p>
        </w:tc>
      </w:tr>
      <w:tr w:rsidR="00957061" w:rsidTr="00C34D4C">
        <w:tc>
          <w:tcPr>
            <w:tcW w:w="3652" w:type="dxa"/>
          </w:tcPr>
          <w:p w:rsidR="00957061" w:rsidRPr="00957061" w:rsidRDefault="00957061" w:rsidP="00C34D4C">
            <w:pPr>
              <w:rPr>
                <w:b/>
              </w:rPr>
            </w:pPr>
            <w:r w:rsidRPr="00957061">
              <w:rPr>
                <w:b/>
              </w:rPr>
              <w:t>Fair and reasonable</w:t>
            </w:r>
          </w:p>
        </w:tc>
        <w:tc>
          <w:tcPr>
            <w:tcW w:w="5103" w:type="dxa"/>
          </w:tcPr>
          <w:p w:rsidR="00957061" w:rsidRPr="00957061" w:rsidRDefault="00957061" w:rsidP="00C34D4C">
            <w:pPr>
              <w:jc w:val="center"/>
            </w:pPr>
            <w:r>
              <w:t>-</w:t>
            </w:r>
          </w:p>
        </w:tc>
      </w:tr>
      <w:tr w:rsidR="00957061" w:rsidTr="00C34D4C">
        <w:tc>
          <w:tcPr>
            <w:tcW w:w="3652" w:type="dxa"/>
          </w:tcPr>
          <w:p w:rsidR="00957061" w:rsidRDefault="00957061" w:rsidP="00C34D4C">
            <w:r w:rsidRPr="00957061">
              <w:rPr>
                <w:b/>
              </w:rPr>
              <w:t xml:space="preserve">NOT fair and </w:t>
            </w:r>
            <w:r>
              <w:rPr>
                <w:b/>
              </w:rPr>
              <w:t>r</w:t>
            </w:r>
            <w:r w:rsidRPr="00957061">
              <w:rPr>
                <w:b/>
              </w:rPr>
              <w:t>easonable</w:t>
            </w:r>
          </w:p>
        </w:tc>
        <w:tc>
          <w:tcPr>
            <w:tcW w:w="5103" w:type="dxa"/>
          </w:tcPr>
          <w:p w:rsidR="00957061" w:rsidRDefault="00957061" w:rsidP="00C34D4C">
            <w:pPr>
              <w:jc w:val="center"/>
            </w:pPr>
            <w:r>
              <w:t>-</w:t>
            </w:r>
          </w:p>
        </w:tc>
      </w:tr>
    </w:tbl>
    <w:p w:rsidR="006C30C4" w:rsidRDefault="00957061" w:rsidP="006C30C4">
      <w:r w:rsidRPr="00D8538C">
        <w:br/>
        <w:t>You are also welcome to add any other additional commentary</w:t>
      </w:r>
      <w:r w:rsidR="002573EB">
        <w:t xml:space="preserve"> below</w:t>
      </w:r>
      <w:r w:rsidRPr="00D8538C">
        <w:t>.</w:t>
      </w:r>
    </w:p>
    <w:p w:rsidR="00A66DC7" w:rsidRDefault="00D7068A" w:rsidP="006C30C4">
      <w:r w:rsidRPr="00D8538C">
        <w:t>-</w:t>
      </w:r>
    </w:p>
    <w:p w:rsidR="00D7068A" w:rsidRPr="00D8538C" w:rsidRDefault="00D7068A" w:rsidP="006C30C4">
      <w:r w:rsidRPr="00D8538C">
        <w:t xml:space="preserve"> </w:t>
      </w:r>
    </w:p>
    <w:p w:rsidR="00A66DC7" w:rsidRDefault="00A66DC7">
      <w:pPr>
        <w:rPr>
          <w:b/>
        </w:rPr>
        <w:sectPr w:rsidR="00A66DC7" w:rsidSect="00826B29">
          <w:footerReference w:type="default" r:id="rId10"/>
          <w:pgSz w:w="11906" w:h="16838"/>
          <w:pgMar w:top="1276" w:right="1440" w:bottom="993" w:left="1843" w:header="708" w:footer="708" w:gutter="0"/>
          <w:cols w:space="708"/>
          <w:docGrid w:linePitch="360"/>
        </w:sectPr>
      </w:pPr>
    </w:p>
    <w:p w:rsidR="00F60AC9" w:rsidRDefault="00F60AC9" w:rsidP="009804FA">
      <w:pPr>
        <w:rPr>
          <w:b/>
        </w:rPr>
      </w:pPr>
      <w:r>
        <w:rPr>
          <w:b/>
        </w:rPr>
        <w:lastRenderedPageBreak/>
        <w:t>Proposed rule changes</w:t>
      </w:r>
      <w:r w:rsidR="00563C67">
        <w:rPr>
          <w:b/>
        </w:rPr>
        <w:t>/additions</w:t>
      </w:r>
      <w:r>
        <w:rPr>
          <w:b/>
        </w:rPr>
        <w:t xml:space="preserve"> highlighted and in italics</w:t>
      </w:r>
    </w:p>
    <w:p w:rsidR="009804FA" w:rsidRPr="00F60AC9" w:rsidRDefault="009804FA" w:rsidP="009804FA">
      <w:r w:rsidRPr="009804FA">
        <w:rPr>
          <w:b/>
        </w:rPr>
        <w:t>68 Board must consider report and decide whether to refer complaint or inquiry to disciplinary hearing</w:t>
      </w:r>
      <w:r w:rsidR="00826B29">
        <w:rPr>
          <w:b/>
        </w:rPr>
        <w:br/>
      </w:r>
      <w:r w:rsidR="00F60AC9" w:rsidRPr="00F60AC9">
        <w:rPr>
          <w:i/>
          <w:highlight w:val="yellow"/>
        </w:rPr>
        <w:t>(1)</w:t>
      </w:r>
      <w:r w:rsidR="00F60AC9">
        <w:t xml:space="preserve"> </w:t>
      </w:r>
      <w:r w:rsidRPr="00F60AC9">
        <w:t>The Board must, as soon as practicable after receiving an investigating committee’s report on a complaint or an inquiry, consider the report and—</w:t>
      </w:r>
      <w:r w:rsidR="00826B29">
        <w:br/>
      </w:r>
      <w:r w:rsidRPr="00F60AC9">
        <w:t>(a) refer the matter to a disciplinary hearing; or</w:t>
      </w:r>
      <w:r w:rsidR="00826B29">
        <w:br/>
      </w:r>
      <w:r w:rsidRPr="00F60AC9">
        <w:t>(b) dismiss the matter on a ground in rule 69.</w:t>
      </w:r>
    </w:p>
    <w:p w:rsidR="00F60AC9" w:rsidRPr="00D9201F" w:rsidRDefault="00F60AC9" w:rsidP="00F60AC9">
      <w:pPr>
        <w:pStyle w:val="ListParagraph"/>
        <w:ind w:left="0"/>
        <w:rPr>
          <w:b/>
        </w:rPr>
      </w:pPr>
      <w:r w:rsidRPr="00D9201F">
        <w:rPr>
          <w:b/>
          <w:i/>
          <w:highlight w:val="yellow"/>
        </w:rPr>
        <w:t>(2) If the Board has made a decision under Rule 68(a) and then prior to the Disciplinary Hearing circumstances change so that Rule 69(</w:t>
      </w:r>
      <w:proofErr w:type="gramStart"/>
      <w:r w:rsidRPr="00D9201F">
        <w:rPr>
          <w:b/>
          <w:i/>
          <w:highlight w:val="yellow"/>
        </w:rPr>
        <w:t>aa</w:t>
      </w:r>
      <w:proofErr w:type="gramEnd"/>
      <w:r w:rsidRPr="00D9201F">
        <w:rPr>
          <w:b/>
          <w:i/>
          <w:highlight w:val="yellow"/>
        </w:rPr>
        <w:t>) applies, the Board may dismiss the matter.</w:t>
      </w:r>
    </w:p>
    <w:p w:rsidR="009804FA" w:rsidRPr="00F60AC9" w:rsidRDefault="009804FA" w:rsidP="009804FA">
      <w:r w:rsidRPr="009804FA">
        <w:rPr>
          <w:b/>
        </w:rPr>
        <w:t>69 Grounds for not referring complaint or inquiry to disciplinary hearing</w:t>
      </w:r>
      <w:r w:rsidR="00826B29">
        <w:rPr>
          <w:b/>
        </w:rPr>
        <w:br/>
      </w:r>
      <w:r w:rsidRPr="00F60AC9">
        <w:t>The Board may dismiss a complaint or an inquiry without referring it to a disciplinary hearing if—</w:t>
      </w:r>
      <w:r w:rsidR="00826B29">
        <w:br/>
      </w:r>
      <w:r w:rsidRPr="00F60AC9">
        <w:t>(a) there is no applicable ground of discipline under section 25(1)</w:t>
      </w:r>
      <w:r w:rsidRPr="00F60AC9">
        <w:rPr>
          <w:rFonts w:ascii="Tahoma" w:hAnsi="Tahoma" w:cs="Tahoma"/>
        </w:rPr>
        <w:t>﻿</w:t>
      </w:r>
      <w:r w:rsidRPr="00F60AC9">
        <w:t xml:space="preserve">(a) to (d) of the Act; </w:t>
      </w:r>
      <w:proofErr w:type="gramStart"/>
      <w:r w:rsidRPr="00F60AC9">
        <w:t>or</w:t>
      </w:r>
      <w:proofErr w:type="gramEnd"/>
      <w:r w:rsidR="00826B29">
        <w:br/>
      </w:r>
      <w:r w:rsidR="00F60AC9" w:rsidRPr="00D9201F">
        <w:rPr>
          <w:b/>
          <w:highlight w:val="yellow"/>
        </w:rPr>
        <w:t xml:space="preserve">(aa) </w:t>
      </w:r>
      <w:r w:rsidR="00F60AC9" w:rsidRPr="00D9201F">
        <w:rPr>
          <w:b/>
          <w:i/>
          <w:highlight w:val="yellow"/>
        </w:rPr>
        <w:t>there is no real prospect of grounds for discipline under section 25(1)</w:t>
      </w:r>
      <w:r w:rsidR="00F60AC9" w:rsidRPr="00D9201F">
        <w:rPr>
          <w:rFonts w:ascii="Tahoma" w:hAnsi="Tahoma" w:cs="Tahoma"/>
          <w:b/>
          <w:i/>
          <w:highlight w:val="yellow"/>
        </w:rPr>
        <w:t>﻿</w:t>
      </w:r>
      <w:r w:rsidR="00F60AC9" w:rsidRPr="00D9201F">
        <w:rPr>
          <w:b/>
          <w:i/>
          <w:highlight w:val="yellow"/>
        </w:rPr>
        <w:t>(a) to (d) of the Act being proven.</w:t>
      </w:r>
      <w:r w:rsidR="00826B29">
        <w:rPr>
          <w:i/>
        </w:rPr>
        <w:br/>
      </w:r>
      <w:r w:rsidRPr="00F60AC9">
        <w:t>(b) the subject matter is trivial; or</w:t>
      </w:r>
      <w:r w:rsidR="00826B29">
        <w:br/>
      </w:r>
      <w:r w:rsidRPr="00F60AC9">
        <w:t>(c) the matter is insufficiently grave to warrant further investigation; or</w:t>
      </w:r>
      <w:r w:rsidR="00826B29">
        <w:br/>
      </w:r>
      <w:r w:rsidRPr="00F60AC9">
        <w:t>(d) the complaint is frivolous or vexatious or is not made in good faith; or</w:t>
      </w:r>
      <w:bookmarkStart w:id="0" w:name="_GoBack"/>
      <w:bookmarkEnd w:id="0"/>
      <w:r w:rsidR="00826B29">
        <w:br/>
      </w:r>
      <w:r w:rsidRPr="00F60AC9">
        <w:t>(e) the complainant does not wish action to be taken or continued; or</w:t>
      </w:r>
      <w:r w:rsidR="00826B29">
        <w:br/>
      </w:r>
      <w:r w:rsidRPr="00F60AC9">
        <w:t>(f) the complainant does not have a sufficient personal interest in the subject matter of the complaint; or</w:t>
      </w:r>
      <w:r w:rsidR="00826B29">
        <w:br/>
      </w:r>
      <w:r w:rsidRPr="00F60AC9">
        <w:t>(g) a disciplinary hearing is no longer practicable or desirable given the time that has elapsed since the matter giving rise to the complaint or inquiry arose.</w:t>
      </w:r>
    </w:p>
    <w:p w:rsidR="00B05128" w:rsidRDefault="00F60AC9" w:rsidP="00AD02B1">
      <w:r>
        <w:rPr>
          <w:b/>
        </w:rPr>
        <w:t>Background</w:t>
      </w:r>
      <w:r w:rsidR="00826B29">
        <w:rPr>
          <w:b/>
        </w:rPr>
        <w:br/>
      </w:r>
      <w:proofErr w:type="gramStart"/>
      <w:r w:rsidR="00A66DC7">
        <w:t>When</w:t>
      </w:r>
      <w:proofErr w:type="gramEnd"/>
      <w:r w:rsidR="00A66DC7">
        <w:t xml:space="preserve"> a member of the public lays a complaint with the NZRAB against an architect</w:t>
      </w:r>
      <w:r w:rsidR="00115776">
        <w:t>,</w:t>
      </w:r>
      <w:r w:rsidR="00A66DC7">
        <w:t xml:space="preserve"> the complaint is referred to </w:t>
      </w:r>
      <w:r w:rsidR="00D9201F">
        <w:t xml:space="preserve">an </w:t>
      </w:r>
      <w:r w:rsidR="00A66DC7">
        <w:t xml:space="preserve">Investigating Committee which conducts an initial investigation and then </w:t>
      </w:r>
      <w:r w:rsidR="00B05128">
        <w:t>determin</w:t>
      </w:r>
      <w:r w:rsidR="00A66DC7">
        <w:t>es</w:t>
      </w:r>
      <w:r w:rsidR="00B05128">
        <w:t xml:space="preserve"> which complaints </w:t>
      </w:r>
      <w:r w:rsidR="00D9201F">
        <w:t xml:space="preserve">must </w:t>
      </w:r>
      <w:r w:rsidR="00B05128">
        <w:t>go before a disciplinary hearing.</w:t>
      </w:r>
    </w:p>
    <w:p w:rsidR="00B05128" w:rsidRPr="00B05128" w:rsidRDefault="00A66DC7" w:rsidP="00826B29">
      <w:pPr>
        <w:rPr>
          <w:i/>
        </w:rPr>
      </w:pPr>
      <w:r>
        <w:t>Rule 69 lays out a series of grounds on which the Investigating Committee can dismiss a complaint, t</w:t>
      </w:r>
      <w:r w:rsidR="00B05128">
        <w:t xml:space="preserve">he most commonly used </w:t>
      </w:r>
      <w:r>
        <w:t xml:space="preserve">being </w:t>
      </w:r>
      <w:r w:rsidR="00B05128">
        <w:t>Rule 69(a):</w:t>
      </w:r>
      <w:r>
        <w:t xml:space="preserve"> </w:t>
      </w:r>
      <w:r w:rsidR="00B05128" w:rsidRPr="00B05128">
        <w:rPr>
          <w:i/>
        </w:rPr>
        <w:t>there is no applicable ground of discipline under section 25(1)</w:t>
      </w:r>
      <w:r w:rsidR="00B05128" w:rsidRPr="00B05128">
        <w:rPr>
          <w:rFonts w:ascii="Tahoma" w:hAnsi="Tahoma" w:cs="Tahoma"/>
          <w:i/>
        </w:rPr>
        <w:t>﻿</w:t>
      </w:r>
      <w:r w:rsidR="00B05128" w:rsidRPr="00B05128">
        <w:rPr>
          <w:i/>
        </w:rPr>
        <w:t xml:space="preserve">(a) to (d) of the Act; </w:t>
      </w:r>
    </w:p>
    <w:p w:rsidR="00427603" w:rsidRPr="00A854A7" w:rsidRDefault="00B05128" w:rsidP="00AD02B1">
      <w:r>
        <w:t>Interpreting this has been problematic</w:t>
      </w:r>
      <w:r w:rsidR="00343236">
        <w:t xml:space="preserve"> for a long time</w:t>
      </w:r>
      <w:r>
        <w:t xml:space="preserve">, and recently this led to litigation. </w:t>
      </w:r>
      <w:r w:rsidR="00D9201F">
        <w:t>As a result, t</w:t>
      </w:r>
      <w:r>
        <w:t xml:space="preserve">he High Court has ruled that: </w:t>
      </w:r>
      <w:r w:rsidR="003C703A" w:rsidRPr="00A854A7">
        <w:t>“The Investigating Committee must ensure that matters are NOT referred to a disciplinary committee when there is no real prospect of a finding against the architect even where there is a prima facie case against him or her.</w:t>
      </w:r>
      <w:r w:rsidR="00F036FB" w:rsidRPr="00A854A7">
        <w:t>”</w:t>
      </w:r>
    </w:p>
    <w:p w:rsidR="003C703A" w:rsidRPr="00A854A7" w:rsidRDefault="00B05128" w:rsidP="00826B29">
      <w:r>
        <w:t xml:space="preserve">This interpretation is very helpful. </w:t>
      </w:r>
      <w:r w:rsidR="00826B29">
        <w:t>To provide enhanced clarity going forward</w:t>
      </w:r>
      <w:r w:rsidR="00A66DC7">
        <w:t>,</w:t>
      </w:r>
      <w:r w:rsidR="00826B29">
        <w:t xml:space="preserve"> the NZRAB wishes to write the court ruling into the Rules</w:t>
      </w:r>
      <w:r w:rsidR="00A66DC7">
        <w:t>, as per the proposed Rule 69(</w:t>
      </w:r>
      <w:proofErr w:type="gramStart"/>
      <w:r w:rsidR="00A66DC7">
        <w:t>aa</w:t>
      </w:r>
      <w:proofErr w:type="gramEnd"/>
      <w:r w:rsidR="00A66DC7">
        <w:t>)</w:t>
      </w:r>
      <w:r w:rsidR="00826B29">
        <w:t>.</w:t>
      </w:r>
    </w:p>
    <w:p w:rsidR="00826B29" w:rsidRDefault="00EE2C99">
      <w:r>
        <w:t xml:space="preserve">In addition, Proposed Rule Change 2 would deal with the situation where after an Investigating Committee has decided to refer a complaint to a disciplinary hearing </w:t>
      </w:r>
      <w:r w:rsidR="00D84F73">
        <w:t xml:space="preserve">something in regard to the evidence </w:t>
      </w:r>
      <w:r w:rsidR="00D84F73" w:rsidRPr="00A854A7">
        <w:t>changes (</w:t>
      </w:r>
      <w:proofErr w:type="spellStart"/>
      <w:r w:rsidR="00D84F73" w:rsidRPr="00A854A7">
        <w:t>eg</w:t>
      </w:r>
      <w:proofErr w:type="spellEnd"/>
      <w:r w:rsidR="00D84F73" w:rsidRPr="00A854A7">
        <w:t xml:space="preserve"> a critical witness refuses to appear or </w:t>
      </w:r>
      <w:r w:rsidR="00D84F73" w:rsidRPr="00D7068A">
        <w:t>dies)</w:t>
      </w:r>
      <w:r w:rsidR="00B05128">
        <w:t xml:space="preserve">. </w:t>
      </w:r>
    </w:p>
    <w:p w:rsidR="00D20E37" w:rsidRPr="00D7068A" w:rsidRDefault="00B05128">
      <w:r>
        <w:t>O</w:t>
      </w:r>
      <w:r w:rsidR="00D7068A" w:rsidRPr="00D7068A">
        <w:t xml:space="preserve">therwise </w:t>
      </w:r>
      <w:r w:rsidR="00D7068A">
        <w:t>the</w:t>
      </w:r>
      <w:r w:rsidR="00D84F73" w:rsidRPr="00D7068A">
        <w:t xml:space="preserve"> complaint </w:t>
      </w:r>
      <w:r>
        <w:t xml:space="preserve">would still </w:t>
      </w:r>
      <w:r w:rsidR="00D84F73" w:rsidRPr="00D7068A">
        <w:t>ha</w:t>
      </w:r>
      <w:r>
        <w:t>ve</w:t>
      </w:r>
      <w:r w:rsidR="00D84F73" w:rsidRPr="00D7068A">
        <w:t xml:space="preserve"> to proceed</w:t>
      </w:r>
      <w:r w:rsidR="00D7068A" w:rsidRPr="00D7068A">
        <w:t xml:space="preserve"> to a disciplinary hearing even though there is now no real prospect of </w:t>
      </w:r>
      <w:r w:rsidR="00D8538C">
        <w:t xml:space="preserve">any </w:t>
      </w:r>
      <w:r w:rsidR="00D7068A" w:rsidRPr="00D7068A">
        <w:t>grounds for discipline being proven</w:t>
      </w:r>
      <w:r w:rsidR="00D84F73" w:rsidRPr="00D7068A">
        <w:t xml:space="preserve">, </w:t>
      </w:r>
      <w:r w:rsidR="00D7068A">
        <w:t xml:space="preserve">thereby </w:t>
      </w:r>
      <w:r w:rsidR="00D84F73" w:rsidRPr="00D7068A">
        <w:t>wasting time and resources</w:t>
      </w:r>
      <w:r w:rsidR="00563C67">
        <w:t>,</w:t>
      </w:r>
      <w:r w:rsidR="00D8538C" w:rsidRPr="00D8538C">
        <w:t xml:space="preserve"> </w:t>
      </w:r>
      <w:r w:rsidR="00D8538C">
        <w:t>and causing unwarranted distress</w:t>
      </w:r>
      <w:r w:rsidR="00D84F73" w:rsidRPr="00D7068A">
        <w:t>.</w:t>
      </w:r>
    </w:p>
    <w:sectPr w:rsidR="00D20E37" w:rsidRPr="00D7068A" w:rsidSect="003F3E5A">
      <w:pgSz w:w="11906" w:h="16838"/>
      <w:pgMar w:top="1276" w:right="1133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F5" w:rsidRDefault="004822F5" w:rsidP="00261F2B">
      <w:pPr>
        <w:spacing w:after="0" w:line="240" w:lineRule="auto"/>
      </w:pPr>
      <w:r>
        <w:separator/>
      </w:r>
    </w:p>
  </w:endnote>
  <w:endnote w:type="continuationSeparator" w:id="0">
    <w:p w:rsidR="004822F5" w:rsidRDefault="004822F5" w:rsidP="0026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2B" w:rsidRPr="0078774B" w:rsidRDefault="00A854A7" w:rsidP="0078774B">
    <w:pPr>
      <w:pStyle w:val="Foot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 xml:space="preserve">NZRAB </w:t>
    </w:r>
    <w:r w:rsidR="009F5612">
      <w:rPr>
        <w:color w:val="A6A6A6" w:themeColor="background1" w:themeShade="A6"/>
        <w:sz w:val="18"/>
      </w:rPr>
      <w:t>Letter to Minister seeking rule changes</w:t>
    </w:r>
    <w:r w:rsidR="00A05CA0">
      <w:rPr>
        <w:color w:val="A6A6A6" w:themeColor="background1" w:themeShade="A6"/>
        <w:sz w:val="18"/>
      </w:rPr>
      <w:t xml:space="preserve"> </w:t>
    </w:r>
    <w:r>
      <w:rPr>
        <w:color w:val="A6A6A6" w:themeColor="background1" w:themeShade="A6"/>
        <w:sz w:val="18"/>
      </w:rPr>
      <w:t xml:space="preserve">12 </w:t>
    </w:r>
    <w:r w:rsidR="00A05CA0">
      <w:rPr>
        <w:color w:val="A6A6A6" w:themeColor="background1" w:themeShade="A6"/>
        <w:sz w:val="18"/>
      </w:rPr>
      <w:t>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F5" w:rsidRDefault="004822F5" w:rsidP="00261F2B">
      <w:pPr>
        <w:spacing w:after="0" w:line="240" w:lineRule="auto"/>
      </w:pPr>
      <w:r>
        <w:separator/>
      </w:r>
    </w:p>
  </w:footnote>
  <w:footnote w:type="continuationSeparator" w:id="0">
    <w:p w:rsidR="004822F5" w:rsidRDefault="004822F5" w:rsidP="0026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0AB3"/>
    <w:multiLevelType w:val="hybridMultilevel"/>
    <w:tmpl w:val="52B457C0"/>
    <w:lvl w:ilvl="0" w:tplc="F87648C8">
      <w:numFmt w:val="bullet"/>
      <w:lvlText w:val="•"/>
      <w:lvlJc w:val="left"/>
      <w:pPr>
        <w:ind w:left="1451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">
    <w:nsid w:val="2B3E2862"/>
    <w:multiLevelType w:val="hybridMultilevel"/>
    <w:tmpl w:val="E35A77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4565F"/>
    <w:multiLevelType w:val="hybridMultilevel"/>
    <w:tmpl w:val="5C524C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2E0"/>
    <w:multiLevelType w:val="hybridMultilevel"/>
    <w:tmpl w:val="313E95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97FB5"/>
    <w:multiLevelType w:val="hybridMultilevel"/>
    <w:tmpl w:val="4BC2C1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7048C"/>
    <w:multiLevelType w:val="hybridMultilevel"/>
    <w:tmpl w:val="603C47C8"/>
    <w:lvl w:ilvl="0" w:tplc="F87648C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45DB7"/>
    <w:multiLevelType w:val="hybridMultilevel"/>
    <w:tmpl w:val="E4F404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806F7"/>
    <w:multiLevelType w:val="hybridMultilevel"/>
    <w:tmpl w:val="B67091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B7658"/>
    <w:multiLevelType w:val="hybridMultilevel"/>
    <w:tmpl w:val="CDF47F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F11F7"/>
    <w:multiLevelType w:val="hybridMultilevel"/>
    <w:tmpl w:val="E4F404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7267C"/>
    <w:multiLevelType w:val="hybridMultilevel"/>
    <w:tmpl w:val="5FAA81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2393E"/>
    <w:multiLevelType w:val="hybridMultilevel"/>
    <w:tmpl w:val="E4F404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733EC"/>
    <w:multiLevelType w:val="hybridMultilevel"/>
    <w:tmpl w:val="5A88AA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A0EF3"/>
    <w:multiLevelType w:val="hybridMultilevel"/>
    <w:tmpl w:val="7B40B8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319F0"/>
    <w:multiLevelType w:val="hybridMultilevel"/>
    <w:tmpl w:val="7E420E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17CD8"/>
    <w:multiLevelType w:val="hybridMultilevel"/>
    <w:tmpl w:val="68249A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4"/>
  </w:num>
  <w:num w:numId="12">
    <w:abstractNumId w:val="9"/>
  </w:num>
  <w:num w:numId="13">
    <w:abstractNumId w:val="6"/>
  </w:num>
  <w:num w:numId="14">
    <w:abstractNumId w:val="1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16"/>
    <w:rsid w:val="00080C04"/>
    <w:rsid w:val="000A4DCC"/>
    <w:rsid w:val="000E1D9C"/>
    <w:rsid w:val="000F79E7"/>
    <w:rsid w:val="00115776"/>
    <w:rsid w:val="001E3C0C"/>
    <w:rsid w:val="002573EB"/>
    <w:rsid w:val="00261F2B"/>
    <w:rsid w:val="003352AC"/>
    <w:rsid w:val="0034314A"/>
    <w:rsid w:val="00343236"/>
    <w:rsid w:val="00393E82"/>
    <w:rsid w:val="003B485B"/>
    <w:rsid w:val="003B611E"/>
    <w:rsid w:val="003C703A"/>
    <w:rsid w:val="003F3E5A"/>
    <w:rsid w:val="0042203C"/>
    <w:rsid w:val="00427603"/>
    <w:rsid w:val="00454999"/>
    <w:rsid w:val="004822F5"/>
    <w:rsid w:val="004900FC"/>
    <w:rsid w:val="004A0DED"/>
    <w:rsid w:val="004E0BF0"/>
    <w:rsid w:val="004E2D8A"/>
    <w:rsid w:val="00501DF0"/>
    <w:rsid w:val="0050706E"/>
    <w:rsid w:val="00563C67"/>
    <w:rsid w:val="00592059"/>
    <w:rsid w:val="005A31FB"/>
    <w:rsid w:val="005C23DA"/>
    <w:rsid w:val="005F07B0"/>
    <w:rsid w:val="006C30C4"/>
    <w:rsid w:val="006D3A0B"/>
    <w:rsid w:val="006F25F0"/>
    <w:rsid w:val="007053BB"/>
    <w:rsid w:val="00744C53"/>
    <w:rsid w:val="0078774B"/>
    <w:rsid w:val="007A3B64"/>
    <w:rsid w:val="007D7189"/>
    <w:rsid w:val="007E5309"/>
    <w:rsid w:val="007F4807"/>
    <w:rsid w:val="007F66FD"/>
    <w:rsid w:val="00820839"/>
    <w:rsid w:val="00826B29"/>
    <w:rsid w:val="0084191A"/>
    <w:rsid w:val="008624BD"/>
    <w:rsid w:val="00867D8B"/>
    <w:rsid w:val="008777E0"/>
    <w:rsid w:val="0094280F"/>
    <w:rsid w:val="00957061"/>
    <w:rsid w:val="009624E4"/>
    <w:rsid w:val="009804FA"/>
    <w:rsid w:val="009B23EB"/>
    <w:rsid w:val="009B24BC"/>
    <w:rsid w:val="009F5612"/>
    <w:rsid w:val="00A05CA0"/>
    <w:rsid w:val="00A25E76"/>
    <w:rsid w:val="00A33AA9"/>
    <w:rsid w:val="00A66DC7"/>
    <w:rsid w:val="00A854A7"/>
    <w:rsid w:val="00AA48F5"/>
    <w:rsid w:val="00AD02B1"/>
    <w:rsid w:val="00B02996"/>
    <w:rsid w:val="00B05128"/>
    <w:rsid w:val="00B82A9A"/>
    <w:rsid w:val="00BD10DD"/>
    <w:rsid w:val="00BF51BB"/>
    <w:rsid w:val="00C07931"/>
    <w:rsid w:val="00C207C2"/>
    <w:rsid w:val="00C77AD1"/>
    <w:rsid w:val="00C90F94"/>
    <w:rsid w:val="00CA10D6"/>
    <w:rsid w:val="00CB1F7D"/>
    <w:rsid w:val="00CE455E"/>
    <w:rsid w:val="00CF648A"/>
    <w:rsid w:val="00D20E37"/>
    <w:rsid w:val="00D63940"/>
    <w:rsid w:val="00D7068A"/>
    <w:rsid w:val="00D84F73"/>
    <w:rsid w:val="00D8538C"/>
    <w:rsid w:val="00D9155F"/>
    <w:rsid w:val="00D9201F"/>
    <w:rsid w:val="00DC6C2D"/>
    <w:rsid w:val="00E23098"/>
    <w:rsid w:val="00E234A2"/>
    <w:rsid w:val="00E32573"/>
    <w:rsid w:val="00E723B1"/>
    <w:rsid w:val="00E75BCA"/>
    <w:rsid w:val="00EA743B"/>
    <w:rsid w:val="00EB6616"/>
    <w:rsid w:val="00EE2C99"/>
    <w:rsid w:val="00F036FB"/>
    <w:rsid w:val="00F56813"/>
    <w:rsid w:val="00F57D5E"/>
    <w:rsid w:val="00F60AC9"/>
    <w:rsid w:val="00F676AC"/>
    <w:rsid w:val="00F9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8B"/>
  </w:style>
  <w:style w:type="paragraph" w:styleId="Heading1">
    <w:name w:val="heading 1"/>
    <w:basedOn w:val="Normal"/>
    <w:next w:val="Normal"/>
    <w:link w:val="Heading1Char"/>
    <w:uiPriority w:val="9"/>
    <w:qFormat/>
    <w:rsid w:val="00867D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D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D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D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D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D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D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D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D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F2B"/>
  </w:style>
  <w:style w:type="paragraph" w:styleId="Footer">
    <w:name w:val="footer"/>
    <w:basedOn w:val="Normal"/>
    <w:link w:val="FooterChar"/>
    <w:uiPriority w:val="99"/>
    <w:unhideWhenUsed/>
    <w:rsid w:val="00261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2B"/>
  </w:style>
  <w:style w:type="character" w:customStyle="1" w:styleId="Heading1Char">
    <w:name w:val="Heading 1 Char"/>
    <w:basedOn w:val="DefaultParagraphFont"/>
    <w:link w:val="Heading1"/>
    <w:uiPriority w:val="9"/>
    <w:rsid w:val="00867D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7D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7D8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D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D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D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D8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D8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D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67D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7D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D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7D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67D8B"/>
    <w:rPr>
      <w:b/>
      <w:bCs/>
    </w:rPr>
  </w:style>
  <w:style w:type="character" w:styleId="Emphasis">
    <w:name w:val="Emphasis"/>
    <w:uiPriority w:val="20"/>
    <w:qFormat/>
    <w:rsid w:val="00867D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67D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7D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7D8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7D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7D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D8B"/>
    <w:rPr>
      <w:b/>
      <w:bCs/>
      <w:i/>
      <w:iCs/>
    </w:rPr>
  </w:style>
  <w:style w:type="character" w:styleId="SubtleEmphasis">
    <w:name w:val="Subtle Emphasis"/>
    <w:uiPriority w:val="19"/>
    <w:qFormat/>
    <w:rsid w:val="00867D8B"/>
    <w:rPr>
      <w:i/>
      <w:iCs/>
    </w:rPr>
  </w:style>
  <w:style w:type="character" w:styleId="IntenseEmphasis">
    <w:name w:val="Intense Emphasis"/>
    <w:uiPriority w:val="21"/>
    <w:qFormat/>
    <w:rsid w:val="00867D8B"/>
    <w:rPr>
      <w:b/>
      <w:bCs/>
    </w:rPr>
  </w:style>
  <w:style w:type="character" w:styleId="SubtleReference">
    <w:name w:val="Subtle Reference"/>
    <w:uiPriority w:val="31"/>
    <w:qFormat/>
    <w:rsid w:val="00867D8B"/>
    <w:rPr>
      <w:smallCaps/>
    </w:rPr>
  </w:style>
  <w:style w:type="character" w:styleId="IntenseReference">
    <w:name w:val="Intense Reference"/>
    <w:uiPriority w:val="32"/>
    <w:qFormat/>
    <w:rsid w:val="00867D8B"/>
    <w:rPr>
      <w:smallCaps/>
      <w:spacing w:val="5"/>
      <w:u w:val="single"/>
    </w:rPr>
  </w:style>
  <w:style w:type="character" w:styleId="BookTitle">
    <w:name w:val="Book Title"/>
    <w:uiPriority w:val="33"/>
    <w:qFormat/>
    <w:rsid w:val="00867D8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D8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A48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48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48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48F5"/>
    <w:rPr>
      <w:color w:val="0000FF" w:themeColor="hyperlink"/>
      <w:u w:val="single"/>
    </w:rPr>
  </w:style>
  <w:style w:type="paragraph" w:customStyle="1" w:styleId="ta-response-item-content">
    <w:name w:val="ta-response-item-content"/>
    <w:basedOn w:val="Normal"/>
    <w:rsid w:val="0050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8B"/>
  </w:style>
  <w:style w:type="paragraph" w:styleId="Heading1">
    <w:name w:val="heading 1"/>
    <w:basedOn w:val="Normal"/>
    <w:next w:val="Normal"/>
    <w:link w:val="Heading1Char"/>
    <w:uiPriority w:val="9"/>
    <w:qFormat/>
    <w:rsid w:val="00867D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D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D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D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D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D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D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D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D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F2B"/>
  </w:style>
  <w:style w:type="paragraph" w:styleId="Footer">
    <w:name w:val="footer"/>
    <w:basedOn w:val="Normal"/>
    <w:link w:val="FooterChar"/>
    <w:uiPriority w:val="99"/>
    <w:unhideWhenUsed/>
    <w:rsid w:val="00261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2B"/>
  </w:style>
  <w:style w:type="character" w:customStyle="1" w:styleId="Heading1Char">
    <w:name w:val="Heading 1 Char"/>
    <w:basedOn w:val="DefaultParagraphFont"/>
    <w:link w:val="Heading1"/>
    <w:uiPriority w:val="9"/>
    <w:rsid w:val="00867D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7D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7D8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D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D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D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D8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D8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D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67D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7D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D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7D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67D8B"/>
    <w:rPr>
      <w:b/>
      <w:bCs/>
    </w:rPr>
  </w:style>
  <w:style w:type="character" w:styleId="Emphasis">
    <w:name w:val="Emphasis"/>
    <w:uiPriority w:val="20"/>
    <w:qFormat/>
    <w:rsid w:val="00867D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67D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7D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7D8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7D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7D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D8B"/>
    <w:rPr>
      <w:b/>
      <w:bCs/>
      <w:i/>
      <w:iCs/>
    </w:rPr>
  </w:style>
  <w:style w:type="character" w:styleId="SubtleEmphasis">
    <w:name w:val="Subtle Emphasis"/>
    <w:uiPriority w:val="19"/>
    <w:qFormat/>
    <w:rsid w:val="00867D8B"/>
    <w:rPr>
      <w:i/>
      <w:iCs/>
    </w:rPr>
  </w:style>
  <w:style w:type="character" w:styleId="IntenseEmphasis">
    <w:name w:val="Intense Emphasis"/>
    <w:uiPriority w:val="21"/>
    <w:qFormat/>
    <w:rsid w:val="00867D8B"/>
    <w:rPr>
      <w:b/>
      <w:bCs/>
    </w:rPr>
  </w:style>
  <w:style w:type="character" w:styleId="SubtleReference">
    <w:name w:val="Subtle Reference"/>
    <w:uiPriority w:val="31"/>
    <w:qFormat/>
    <w:rsid w:val="00867D8B"/>
    <w:rPr>
      <w:smallCaps/>
    </w:rPr>
  </w:style>
  <w:style w:type="character" w:styleId="IntenseReference">
    <w:name w:val="Intense Reference"/>
    <w:uiPriority w:val="32"/>
    <w:qFormat/>
    <w:rsid w:val="00867D8B"/>
    <w:rPr>
      <w:smallCaps/>
      <w:spacing w:val="5"/>
      <w:u w:val="single"/>
    </w:rPr>
  </w:style>
  <w:style w:type="character" w:styleId="BookTitle">
    <w:name w:val="Book Title"/>
    <w:uiPriority w:val="33"/>
    <w:qFormat/>
    <w:rsid w:val="00867D8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D8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A48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48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48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48F5"/>
    <w:rPr>
      <w:color w:val="0000FF" w:themeColor="hyperlink"/>
      <w:u w:val="single"/>
    </w:rPr>
  </w:style>
  <w:style w:type="paragraph" w:customStyle="1" w:styleId="ta-response-item-content">
    <w:name w:val="ta-response-item-content"/>
    <w:basedOn w:val="Normal"/>
    <w:rsid w:val="0050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1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4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8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6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08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444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112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5397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7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1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2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2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01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60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27241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14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65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200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095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84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0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36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04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81417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102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3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44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38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86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46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6240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69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017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849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71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44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80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03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nsult@nzrab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A8BA-81A2-4A4E-BDD2-86CCDB40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Jackman</dc:creator>
  <cp:lastModifiedBy>Paul Jackman</cp:lastModifiedBy>
  <cp:revision>9</cp:revision>
  <cp:lastPrinted>2017-04-12T00:34:00Z</cp:lastPrinted>
  <dcterms:created xsi:type="dcterms:W3CDTF">2017-04-17T20:17:00Z</dcterms:created>
  <dcterms:modified xsi:type="dcterms:W3CDTF">2017-04-20T20:26:00Z</dcterms:modified>
</cp:coreProperties>
</file>